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7C68F4" w:rsidRPr="007C68F4" w:rsidTr="007C68F4">
        <w:trPr>
          <w:tblCellSpacing w:w="15" w:type="dxa"/>
          <w:jc w:val="center"/>
        </w:trPr>
        <w:tc>
          <w:tcPr>
            <w:tcW w:w="0" w:type="auto"/>
            <w:vAlign w:val="center"/>
            <w:hideMark/>
          </w:tcPr>
          <w:p w:rsidR="007C68F4" w:rsidRPr="007C68F4" w:rsidRDefault="007C68F4" w:rsidP="007C68F4">
            <w:pPr>
              <w:widowControl/>
              <w:spacing w:line="540" w:lineRule="atLeast"/>
              <w:jc w:val="center"/>
              <w:rPr>
                <w:rFonts w:ascii="宋体" w:eastAsia="宋体" w:hAnsi="宋体" w:cs="宋体"/>
                <w:b/>
                <w:bCs/>
                <w:color w:val="555555"/>
                <w:kern w:val="0"/>
                <w:sz w:val="27"/>
                <w:szCs w:val="27"/>
              </w:rPr>
            </w:pPr>
            <w:bookmarkStart w:id="0" w:name="_GoBack" w:colFirst="0" w:colLast="1"/>
            <w:r w:rsidRPr="007C68F4">
              <w:rPr>
                <w:rFonts w:ascii="宋体" w:eastAsia="宋体" w:hAnsi="宋体" w:cs="宋体" w:hint="eastAsia"/>
                <w:b/>
                <w:bCs/>
                <w:color w:val="555555"/>
                <w:kern w:val="0"/>
                <w:sz w:val="27"/>
                <w:szCs w:val="27"/>
              </w:rPr>
              <w:t>《浙江省级基础性公益性战略性地质工作项目资金管理办法》政策解读</w:t>
            </w:r>
          </w:p>
        </w:tc>
      </w:tr>
      <w:tr w:rsidR="007C68F4" w:rsidRPr="007C68F4" w:rsidTr="007C68F4">
        <w:trPr>
          <w:tblCellSpacing w:w="15" w:type="dxa"/>
          <w:jc w:val="center"/>
        </w:trPr>
        <w:tc>
          <w:tcPr>
            <w:tcW w:w="0" w:type="auto"/>
            <w:vAlign w:val="center"/>
            <w:hideMark/>
          </w:tcPr>
          <w:tbl>
            <w:tblPr>
              <w:tblW w:w="5000" w:type="pct"/>
              <w:jc w:val="center"/>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131"/>
              <w:gridCol w:w="2813"/>
              <w:gridCol w:w="2256"/>
              <w:gridCol w:w="106"/>
            </w:tblGrid>
            <w:tr w:rsidR="007C68F4" w:rsidRPr="007C68F4">
              <w:trPr>
                <w:tblCellSpacing w:w="15" w:type="dxa"/>
                <w:jc w:val="center"/>
              </w:trPr>
              <w:tc>
                <w:tcPr>
                  <w:tcW w:w="0" w:type="auto"/>
                  <w:shd w:val="clear" w:color="auto" w:fill="F5F5F5"/>
                  <w:vAlign w:val="center"/>
                  <w:hideMark/>
                </w:tcPr>
                <w:bookmarkEnd w:id="0"/>
                <w:p w:rsidR="007C68F4" w:rsidRPr="007C68F4" w:rsidRDefault="007C68F4" w:rsidP="007C68F4">
                  <w:pPr>
                    <w:widowControl/>
                    <w:spacing w:line="345" w:lineRule="atLeast"/>
                    <w:jc w:val="center"/>
                    <w:rPr>
                      <w:rFonts w:ascii="宋体" w:eastAsia="宋体" w:hAnsi="宋体" w:cs="宋体"/>
                      <w:color w:val="888888"/>
                      <w:kern w:val="0"/>
                      <w:sz w:val="18"/>
                      <w:szCs w:val="18"/>
                    </w:rPr>
                  </w:pPr>
                  <w:r w:rsidRPr="007C68F4">
                    <w:rPr>
                      <w:rFonts w:ascii="宋体" w:eastAsia="宋体" w:hAnsi="宋体" w:cs="宋体" w:hint="eastAsia"/>
                      <w:color w:val="888888"/>
                      <w:kern w:val="0"/>
                      <w:sz w:val="18"/>
                      <w:szCs w:val="18"/>
                    </w:rPr>
                    <w:t>发布日期：2018-10-15</w:t>
                  </w:r>
                </w:p>
              </w:tc>
              <w:tc>
                <w:tcPr>
                  <w:tcW w:w="0" w:type="auto"/>
                  <w:shd w:val="clear" w:color="auto" w:fill="F5F5F5"/>
                  <w:vAlign w:val="center"/>
                  <w:hideMark/>
                </w:tcPr>
                <w:p w:rsidR="007C68F4" w:rsidRPr="007C68F4" w:rsidRDefault="007C68F4" w:rsidP="007C68F4">
                  <w:pPr>
                    <w:widowControl/>
                    <w:spacing w:line="345" w:lineRule="atLeast"/>
                    <w:jc w:val="left"/>
                    <w:rPr>
                      <w:rFonts w:ascii="宋体" w:eastAsia="宋体" w:hAnsi="宋体" w:cs="宋体"/>
                      <w:color w:val="888888"/>
                      <w:kern w:val="0"/>
                      <w:sz w:val="18"/>
                      <w:szCs w:val="18"/>
                    </w:rPr>
                  </w:pPr>
                  <w:r w:rsidRPr="007C68F4">
                    <w:rPr>
                      <w:rFonts w:ascii="宋体" w:eastAsia="宋体" w:hAnsi="宋体" w:cs="宋体" w:hint="eastAsia"/>
                      <w:color w:val="888888"/>
                      <w:kern w:val="0"/>
                      <w:sz w:val="18"/>
                      <w:szCs w:val="18"/>
                    </w:rPr>
                    <w:t>信息来源：省财政厅</w:t>
                  </w:r>
                </w:p>
              </w:tc>
              <w:tc>
                <w:tcPr>
                  <w:tcW w:w="0" w:type="auto"/>
                  <w:shd w:val="clear" w:color="auto" w:fill="F5F5F5"/>
                  <w:vAlign w:val="center"/>
                  <w:hideMark/>
                </w:tcPr>
                <w:p w:rsidR="007C68F4" w:rsidRPr="007C68F4" w:rsidRDefault="007C68F4" w:rsidP="007C68F4">
                  <w:pPr>
                    <w:widowControl/>
                    <w:spacing w:line="345" w:lineRule="atLeast"/>
                    <w:jc w:val="left"/>
                    <w:rPr>
                      <w:rFonts w:ascii="宋体" w:eastAsia="宋体" w:hAnsi="宋体" w:cs="宋体"/>
                      <w:color w:val="888888"/>
                      <w:kern w:val="0"/>
                      <w:sz w:val="18"/>
                      <w:szCs w:val="18"/>
                    </w:rPr>
                  </w:pPr>
                  <w:r w:rsidRPr="007C68F4">
                    <w:rPr>
                      <w:rFonts w:ascii="宋体" w:eastAsia="宋体" w:hAnsi="宋体" w:cs="宋体" w:hint="eastAsia"/>
                      <w:color w:val="888888"/>
                      <w:kern w:val="0"/>
                      <w:sz w:val="18"/>
                      <w:szCs w:val="18"/>
                    </w:rPr>
                    <w:t xml:space="preserve">阅读人数: </w:t>
                  </w:r>
                  <w:r w:rsidRPr="007C68F4">
                    <w:rPr>
                      <w:rFonts w:ascii="宋体" w:eastAsia="宋体" w:hAnsi="宋体" w:cs="宋体" w:hint="eastAsia"/>
                      <w:color w:val="888888"/>
                      <w:kern w:val="0"/>
                      <w:sz w:val="18"/>
                      <w:szCs w:val="18"/>
                    </w:rPr>
                    <w:pict/>
                  </w:r>
                  <w:r w:rsidRPr="007C68F4">
                    <w:rPr>
                      <w:rFonts w:ascii="宋体" w:eastAsia="宋体" w:hAnsi="宋体" w:cs="宋体" w:hint="eastAsia"/>
                      <w:color w:val="888888"/>
                      <w:kern w:val="0"/>
                      <w:sz w:val="18"/>
                      <w:szCs w:val="18"/>
                    </w:rPr>
                    <w:t xml:space="preserve">8 </w:t>
                  </w:r>
                </w:p>
              </w:tc>
              <w:tc>
                <w:tcPr>
                  <w:tcW w:w="0" w:type="auto"/>
                  <w:shd w:val="clear" w:color="auto" w:fill="F5F5F5"/>
                  <w:vAlign w:val="center"/>
                  <w:hideMark/>
                </w:tcPr>
                <w:p w:rsidR="007C68F4" w:rsidRPr="007C68F4" w:rsidRDefault="007C68F4" w:rsidP="007C68F4">
                  <w:pPr>
                    <w:widowControl/>
                    <w:spacing w:line="345" w:lineRule="atLeast"/>
                    <w:jc w:val="left"/>
                    <w:rPr>
                      <w:rFonts w:ascii="宋体" w:eastAsia="宋体" w:hAnsi="宋体" w:cs="宋体"/>
                      <w:vanish/>
                      <w:color w:val="888888"/>
                      <w:kern w:val="0"/>
                      <w:sz w:val="18"/>
                      <w:szCs w:val="18"/>
                    </w:rPr>
                  </w:pPr>
                  <w:r w:rsidRPr="007C68F4">
                    <w:rPr>
                      <w:rFonts w:ascii="宋体" w:eastAsia="宋体" w:hAnsi="宋体" w:cs="宋体" w:hint="eastAsia"/>
                      <w:vanish/>
                      <w:color w:val="888888"/>
                      <w:kern w:val="0"/>
                      <w:sz w:val="18"/>
                      <w:szCs w:val="18"/>
                    </w:rPr>
                    <w:t>有效性:</w:t>
                  </w:r>
                </w:p>
              </w:tc>
            </w:tr>
          </w:tbl>
          <w:p w:rsidR="007C68F4" w:rsidRPr="007C68F4" w:rsidRDefault="007C68F4" w:rsidP="007C68F4">
            <w:pPr>
              <w:widowControl/>
              <w:spacing w:line="345" w:lineRule="atLeast"/>
              <w:jc w:val="left"/>
              <w:rPr>
                <w:rFonts w:ascii="宋体" w:eastAsia="宋体" w:hAnsi="宋体" w:cs="宋体"/>
                <w:kern w:val="0"/>
                <w:sz w:val="18"/>
                <w:szCs w:val="18"/>
              </w:rPr>
            </w:pPr>
          </w:p>
        </w:tc>
      </w:tr>
      <w:tr w:rsidR="007C68F4" w:rsidRPr="007C68F4" w:rsidTr="007C68F4">
        <w:trPr>
          <w:tblCellSpacing w:w="15" w:type="dxa"/>
          <w:jc w:val="center"/>
        </w:trPr>
        <w:tc>
          <w:tcPr>
            <w:tcW w:w="0" w:type="auto"/>
            <w:tcMar>
              <w:top w:w="0" w:type="dxa"/>
              <w:left w:w="225" w:type="dxa"/>
              <w:bottom w:w="0" w:type="dxa"/>
              <w:right w:w="225" w:type="dxa"/>
            </w:tcMar>
            <w:vAlign w:val="center"/>
            <w:hideMark/>
          </w:tcPr>
          <w:p w:rsidR="007C68F4" w:rsidRPr="007C68F4" w:rsidRDefault="007C68F4" w:rsidP="007C68F4">
            <w:pPr>
              <w:widowControl/>
              <w:spacing w:before="100" w:beforeAutospacing="1" w:after="100" w:afterAutospacing="1" w:line="345" w:lineRule="atLeast"/>
              <w:jc w:val="left"/>
              <w:rPr>
                <w:rFonts w:ascii="宋体" w:eastAsia="宋体" w:hAnsi="宋体" w:cs="宋体" w:hint="eastAsia"/>
                <w:kern w:val="0"/>
                <w:sz w:val="18"/>
                <w:szCs w:val="18"/>
              </w:rPr>
            </w:pP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根据《浙江省人民政府办公厅关于做好行政规范性文件政策解读工作的通知》要求，现将省财政厅会同省国土资源厅制定的《浙江省级基础性公益性战略性地质工作项目资金管理办法》（以下简称《办法》）有关政策解读如下：</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一、修订背景</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2009年、2012年，省财政厅和省国土资源厅联合印发了《浙江省地质勘查基金管理暂行办法》（</w:t>
            </w:r>
            <w:proofErr w:type="gramStart"/>
            <w:r w:rsidRPr="007C68F4">
              <w:rPr>
                <w:rFonts w:ascii="宋体" w:eastAsia="宋体" w:hAnsi="宋体" w:cs="宋体" w:hint="eastAsia"/>
                <w:kern w:val="0"/>
                <w:sz w:val="18"/>
                <w:szCs w:val="18"/>
              </w:rPr>
              <w:t>浙财建</w:t>
            </w:r>
            <w:proofErr w:type="gramEnd"/>
            <w:r w:rsidRPr="007C68F4">
              <w:rPr>
                <w:rFonts w:ascii="宋体" w:eastAsia="宋体" w:hAnsi="宋体" w:cs="宋体" w:hint="eastAsia"/>
                <w:kern w:val="0"/>
                <w:sz w:val="18"/>
                <w:szCs w:val="18"/>
              </w:rPr>
              <w:t>〔2009〕176号）、《浙江省地质矿产项目和专项资金管理暂行办法》（</w:t>
            </w:r>
            <w:proofErr w:type="gramStart"/>
            <w:r w:rsidRPr="007C68F4">
              <w:rPr>
                <w:rFonts w:ascii="宋体" w:eastAsia="宋体" w:hAnsi="宋体" w:cs="宋体" w:hint="eastAsia"/>
                <w:kern w:val="0"/>
                <w:sz w:val="18"/>
                <w:szCs w:val="18"/>
              </w:rPr>
              <w:t>浙财建</w:t>
            </w:r>
            <w:proofErr w:type="gramEnd"/>
            <w:r w:rsidRPr="007C68F4">
              <w:rPr>
                <w:rFonts w:ascii="宋体" w:eastAsia="宋体" w:hAnsi="宋体" w:cs="宋体" w:hint="eastAsia"/>
                <w:kern w:val="0"/>
                <w:sz w:val="18"/>
                <w:szCs w:val="18"/>
              </w:rPr>
              <w:t>〔2012〕115号），办法对规范专项资金管理、发挥地勘资金使用效益、支持推进省部合作项目顺利实施、市县地热项目开发和地质找矿等工作开展发挥了重要作用。为进一步规范专项资金安排项目的程序、</w:t>
            </w:r>
            <w:proofErr w:type="gramStart"/>
            <w:r w:rsidRPr="007C68F4">
              <w:rPr>
                <w:rFonts w:ascii="宋体" w:eastAsia="宋体" w:hAnsi="宋体" w:cs="宋体" w:hint="eastAsia"/>
                <w:kern w:val="0"/>
                <w:sz w:val="18"/>
                <w:szCs w:val="18"/>
              </w:rPr>
              <w:t>明确部门</w:t>
            </w:r>
            <w:proofErr w:type="gramEnd"/>
            <w:r w:rsidRPr="007C68F4">
              <w:rPr>
                <w:rFonts w:ascii="宋体" w:eastAsia="宋体" w:hAnsi="宋体" w:cs="宋体" w:hint="eastAsia"/>
                <w:kern w:val="0"/>
                <w:sz w:val="18"/>
                <w:szCs w:val="18"/>
              </w:rPr>
              <w:t>之间的职责和强化专项资金绩效管理，修订专项资金管理办法已十分必要。一是2012年制定的《浙江省地质矿产项目和专项资金管理暂行办法》，包括省级和市县专项转移支付资金，2015年出台了《浙江省国土地矿专项资金使用管理暂行办法》（</w:t>
            </w:r>
            <w:proofErr w:type="gramStart"/>
            <w:r w:rsidRPr="007C68F4">
              <w:rPr>
                <w:rFonts w:ascii="宋体" w:eastAsia="宋体" w:hAnsi="宋体" w:cs="宋体" w:hint="eastAsia"/>
                <w:kern w:val="0"/>
                <w:sz w:val="18"/>
                <w:szCs w:val="18"/>
              </w:rPr>
              <w:t>浙财建</w:t>
            </w:r>
            <w:proofErr w:type="gramEnd"/>
            <w:r w:rsidRPr="007C68F4">
              <w:rPr>
                <w:rFonts w:ascii="宋体" w:eastAsia="宋体" w:hAnsi="宋体" w:cs="宋体" w:hint="eastAsia"/>
                <w:kern w:val="0"/>
                <w:sz w:val="18"/>
                <w:szCs w:val="18"/>
              </w:rPr>
              <w:t>〔2015〕33号），仅修订了市县专项转移支付资金管理规定，但对省级专项资金管理未予以修订；二是考虑到现有省地质勘查基金和省基础性公益性战略性地质工作专项资金的政策目标接近，资金投入方向类同和管理要求一致等原因，有必要将地质勘查基金专项和省基础性公益性战略性地质工作专项合并;三是原《办法》中部门之间的职责不够明确，资金监督管理存在隐患，为确保资金安全，有必要进一步规范项目安排的程序，厘清职责，明确责任;四是为深入贯彻党的十九大精神，落实“全面实施绩效管理”新要求，切实提升省级财政专项资金使用绩效，需更加突出绩效评价结果的应用。</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二、修订的主要内容</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（一）基金和资金合二为一。将地质勘查基金专项和省基础性公益性战略性地质工作专项合并。</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二）适当调整专项资金支持范围。调整后专项资金主要用于省级基础地质调查、环境地质与地质灾害调查、矿产资源勘查、地质科学研究等地质工作，重点支持大湾区、大花园、大通道和大都市等区域。突出对“四大”建设等区域的支持力度。</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（三）进一步明确了部门之间的职责。《办法》第二章明确省财政厅、省国土资源厅和省地质勘查基金中心的职责。</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lastRenderedPageBreak/>
              <w:t>（四）调整项目立项程序。原《办法》项目立项由有关地勘单位根据项目申报指南，提出具体申报项目，经省国土资源厅组织专家审核后予以立项。《办法》修订后，第二章第七条第一款明确：由省国土资源厅组织编制专项实施方案，根据实施方案提出年度项目立项清单。</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（五）明确了项目申报要求。《办法》第三章进一步明确项目申报的时间、流程、项目入库的要求和项目资金支出范围等。</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（六）强化绩效评价和监督检查。《办法》第四章明确要求对</w:t>
            </w:r>
            <w:proofErr w:type="gramStart"/>
            <w:r w:rsidRPr="007C68F4">
              <w:rPr>
                <w:rFonts w:ascii="宋体" w:eastAsia="宋体" w:hAnsi="宋体" w:cs="宋体" w:hint="eastAsia"/>
                <w:kern w:val="0"/>
                <w:sz w:val="18"/>
                <w:szCs w:val="18"/>
              </w:rPr>
              <w:t>专资金</w:t>
            </w:r>
            <w:proofErr w:type="gramEnd"/>
            <w:r w:rsidRPr="007C68F4">
              <w:rPr>
                <w:rFonts w:ascii="宋体" w:eastAsia="宋体" w:hAnsi="宋体" w:cs="宋体" w:hint="eastAsia"/>
                <w:kern w:val="0"/>
                <w:sz w:val="18"/>
                <w:szCs w:val="18"/>
              </w:rPr>
              <w:t>进行绩效监控，并开展年度绩效评价，年度绩效评价结果与次年度专项资金分配挂钩。专项资金原则上三年</w:t>
            </w:r>
            <w:proofErr w:type="gramStart"/>
            <w:r w:rsidRPr="007C68F4">
              <w:rPr>
                <w:rFonts w:ascii="宋体" w:eastAsia="宋体" w:hAnsi="宋体" w:cs="宋体" w:hint="eastAsia"/>
                <w:kern w:val="0"/>
                <w:sz w:val="18"/>
                <w:szCs w:val="18"/>
              </w:rPr>
              <w:t>一</w:t>
            </w:r>
            <w:proofErr w:type="gramEnd"/>
            <w:r w:rsidRPr="007C68F4">
              <w:rPr>
                <w:rFonts w:ascii="宋体" w:eastAsia="宋体" w:hAnsi="宋体" w:cs="宋体" w:hint="eastAsia"/>
                <w:kern w:val="0"/>
                <w:sz w:val="18"/>
                <w:szCs w:val="18"/>
              </w:rPr>
              <w:t>评估。实施届满后，对三年情况开展绩效评价，评价结果作为专项资金后续存废及政策调整的重要依据。</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三、其他说明事项</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一）省级地勘单位产业结构调整专项资金项目安排参照本《办法》执行。省级地勘单位产业结构调整专项资金是在省地勘单位部门预算内统筹安排的一项专项资金，总金额1300万元，主要为解决地勘单位生存和发展中的问题和困难，专项用于矿产资源勘查、地勘产业延伸、地质科研等项目，为进一步加强专项资金管理，经与省地勘局商议，该项目资金项目安排参照本《办法》执行。</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（二）本办法自发文之日起30日后施行。《浙江省省级地勘单位产业结构调整专项资金使用管理暂行办法》（</w:t>
            </w:r>
            <w:proofErr w:type="gramStart"/>
            <w:r w:rsidRPr="007C68F4">
              <w:rPr>
                <w:rFonts w:ascii="宋体" w:eastAsia="宋体" w:hAnsi="宋体" w:cs="宋体" w:hint="eastAsia"/>
                <w:kern w:val="0"/>
                <w:sz w:val="18"/>
                <w:szCs w:val="18"/>
              </w:rPr>
              <w:t>浙财建</w:t>
            </w:r>
            <w:proofErr w:type="gramEnd"/>
            <w:r w:rsidRPr="007C68F4">
              <w:rPr>
                <w:rFonts w:ascii="宋体" w:eastAsia="宋体" w:hAnsi="宋体" w:cs="宋体" w:hint="eastAsia"/>
                <w:kern w:val="0"/>
                <w:sz w:val="18"/>
                <w:szCs w:val="18"/>
              </w:rPr>
              <w:t>字〔2004〕101号）、《浙江省地质勘查基金管理暂行办法》（</w:t>
            </w:r>
            <w:proofErr w:type="gramStart"/>
            <w:r w:rsidRPr="007C68F4">
              <w:rPr>
                <w:rFonts w:ascii="宋体" w:eastAsia="宋体" w:hAnsi="宋体" w:cs="宋体" w:hint="eastAsia"/>
                <w:kern w:val="0"/>
                <w:sz w:val="18"/>
                <w:szCs w:val="18"/>
              </w:rPr>
              <w:t>浙财建</w:t>
            </w:r>
            <w:proofErr w:type="gramEnd"/>
            <w:r w:rsidRPr="007C68F4">
              <w:rPr>
                <w:rFonts w:ascii="宋体" w:eastAsia="宋体" w:hAnsi="宋体" w:cs="宋体" w:hint="eastAsia"/>
                <w:kern w:val="0"/>
                <w:sz w:val="18"/>
                <w:szCs w:val="18"/>
              </w:rPr>
              <w:t>〔2009〕176号）和《浙江省地质矿产项目和专项资金管理暂行办法》（</w:t>
            </w:r>
            <w:proofErr w:type="gramStart"/>
            <w:r w:rsidRPr="007C68F4">
              <w:rPr>
                <w:rFonts w:ascii="宋体" w:eastAsia="宋体" w:hAnsi="宋体" w:cs="宋体" w:hint="eastAsia"/>
                <w:kern w:val="0"/>
                <w:sz w:val="18"/>
                <w:szCs w:val="18"/>
              </w:rPr>
              <w:t>浙财建</w:t>
            </w:r>
            <w:proofErr w:type="gramEnd"/>
            <w:r w:rsidRPr="007C68F4">
              <w:rPr>
                <w:rFonts w:ascii="宋体" w:eastAsia="宋体" w:hAnsi="宋体" w:cs="宋体" w:hint="eastAsia"/>
                <w:kern w:val="0"/>
                <w:sz w:val="18"/>
                <w:szCs w:val="18"/>
              </w:rPr>
              <w:t>〔2012〕115号）同时废止。</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hint="eastAsia"/>
                <w:kern w:val="0"/>
                <w:sz w:val="18"/>
                <w:szCs w:val="18"/>
              </w:rPr>
            </w:pPr>
            <w:r w:rsidRPr="007C68F4">
              <w:rPr>
                <w:rFonts w:ascii="宋体" w:eastAsia="宋体" w:hAnsi="宋体" w:cs="宋体" w:hint="eastAsia"/>
                <w:kern w:val="0"/>
                <w:sz w:val="18"/>
                <w:szCs w:val="18"/>
              </w:rPr>
              <w:t>四、解读机关和联系方式</w:t>
            </w:r>
          </w:p>
          <w:p w:rsidR="007C68F4" w:rsidRPr="007C68F4" w:rsidRDefault="007C68F4" w:rsidP="007C68F4">
            <w:pPr>
              <w:widowControl/>
              <w:spacing w:before="100" w:beforeAutospacing="1" w:after="100" w:afterAutospacing="1" w:line="420" w:lineRule="atLeast"/>
              <w:ind w:firstLine="480"/>
              <w:jc w:val="left"/>
              <w:rPr>
                <w:rFonts w:ascii="宋体" w:eastAsia="宋体" w:hAnsi="宋体" w:cs="宋体"/>
                <w:kern w:val="0"/>
                <w:sz w:val="18"/>
                <w:szCs w:val="18"/>
              </w:rPr>
            </w:pPr>
            <w:r w:rsidRPr="007C68F4">
              <w:rPr>
                <w:rFonts w:ascii="宋体" w:eastAsia="宋体" w:hAnsi="宋体" w:cs="宋体" w:hint="eastAsia"/>
                <w:kern w:val="0"/>
                <w:sz w:val="18"/>
                <w:szCs w:val="18"/>
              </w:rPr>
              <w:t>《办法》由省财政厅会同省国土资源厅负责解读，具体联系处室为浙江省财政厅经建处，电话：0571-87058453；浙江省国土资源厅，电话：0571-88877806。</w:t>
            </w:r>
          </w:p>
        </w:tc>
      </w:tr>
    </w:tbl>
    <w:p w:rsidR="00D865D5" w:rsidRPr="007C68F4" w:rsidRDefault="00D865D5"/>
    <w:sectPr w:rsidR="00D865D5" w:rsidRPr="007C6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05" w:rsidRDefault="00644205" w:rsidP="007C68F4">
      <w:r>
        <w:separator/>
      </w:r>
    </w:p>
  </w:endnote>
  <w:endnote w:type="continuationSeparator" w:id="0">
    <w:p w:rsidR="00644205" w:rsidRDefault="00644205" w:rsidP="007C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05" w:rsidRDefault="00644205" w:rsidP="007C68F4">
      <w:r>
        <w:separator/>
      </w:r>
    </w:p>
  </w:footnote>
  <w:footnote w:type="continuationSeparator" w:id="0">
    <w:p w:rsidR="00644205" w:rsidRDefault="00644205" w:rsidP="007C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FD"/>
    <w:rsid w:val="005D6EFD"/>
    <w:rsid w:val="00644205"/>
    <w:rsid w:val="007C68F4"/>
    <w:rsid w:val="00D8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8F4"/>
    <w:rPr>
      <w:sz w:val="18"/>
      <w:szCs w:val="18"/>
    </w:rPr>
  </w:style>
  <w:style w:type="paragraph" w:styleId="a4">
    <w:name w:val="footer"/>
    <w:basedOn w:val="a"/>
    <w:link w:val="Char0"/>
    <w:uiPriority w:val="99"/>
    <w:unhideWhenUsed/>
    <w:rsid w:val="007C68F4"/>
    <w:pPr>
      <w:tabs>
        <w:tab w:val="center" w:pos="4153"/>
        <w:tab w:val="right" w:pos="8306"/>
      </w:tabs>
      <w:snapToGrid w:val="0"/>
      <w:jc w:val="left"/>
    </w:pPr>
    <w:rPr>
      <w:sz w:val="18"/>
      <w:szCs w:val="18"/>
    </w:rPr>
  </w:style>
  <w:style w:type="character" w:customStyle="1" w:styleId="Char0">
    <w:name w:val="页脚 Char"/>
    <w:basedOn w:val="a0"/>
    <w:link w:val="a4"/>
    <w:uiPriority w:val="99"/>
    <w:rsid w:val="007C68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8F4"/>
    <w:rPr>
      <w:sz w:val="18"/>
      <w:szCs w:val="18"/>
    </w:rPr>
  </w:style>
  <w:style w:type="paragraph" w:styleId="a4">
    <w:name w:val="footer"/>
    <w:basedOn w:val="a"/>
    <w:link w:val="Char0"/>
    <w:uiPriority w:val="99"/>
    <w:unhideWhenUsed/>
    <w:rsid w:val="007C68F4"/>
    <w:pPr>
      <w:tabs>
        <w:tab w:val="center" w:pos="4153"/>
        <w:tab w:val="right" w:pos="8306"/>
      </w:tabs>
      <w:snapToGrid w:val="0"/>
      <w:jc w:val="left"/>
    </w:pPr>
    <w:rPr>
      <w:sz w:val="18"/>
      <w:szCs w:val="18"/>
    </w:rPr>
  </w:style>
  <w:style w:type="character" w:customStyle="1" w:styleId="Char0">
    <w:name w:val="页脚 Char"/>
    <w:basedOn w:val="a0"/>
    <w:link w:val="a4"/>
    <w:uiPriority w:val="99"/>
    <w:rsid w:val="007C68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79065">
      <w:bodyDiv w:val="1"/>
      <w:marLeft w:val="0"/>
      <w:marRight w:val="0"/>
      <w:marTop w:val="0"/>
      <w:marBottom w:val="0"/>
      <w:divBdr>
        <w:top w:val="none" w:sz="0" w:space="0" w:color="auto"/>
        <w:left w:val="none" w:sz="0" w:space="0" w:color="auto"/>
        <w:bottom w:val="none" w:sz="0" w:space="0" w:color="auto"/>
        <w:right w:val="none" w:sz="0" w:space="0" w:color="auto"/>
      </w:divBdr>
      <w:divsChild>
        <w:div w:id="423310622">
          <w:marLeft w:val="0"/>
          <w:marRight w:val="0"/>
          <w:marTop w:val="0"/>
          <w:marBottom w:val="0"/>
          <w:divBdr>
            <w:top w:val="none" w:sz="0" w:space="0" w:color="auto"/>
            <w:left w:val="none" w:sz="0" w:space="0" w:color="auto"/>
            <w:bottom w:val="none" w:sz="0" w:space="0" w:color="auto"/>
            <w:right w:val="none" w:sz="0" w:space="0" w:color="auto"/>
          </w:divBdr>
          <w:divsChild>
            <w:div w:id="2050378511">
              <w:marLeft w:val="0"/>
              <w:marRight w:val="0"/>
              <w:marTop w:val="0"/>
              <w:marBottom w:val="0"/>
              <w:divBdr>
                <w:top w:val="none" w:sz="0" w:space="0" w:color="auto"/>
                <w:left w:val="none" w:sz="0" w:space="0" w:color="auto"/>
                <w:bottom w:val="none" w:sz="0" w:space="0" w:color="auto"/>
                <w:right w:val="none" w:sz="0" w:space="0" w:color="auto"/>
              </w:divBdr>
              <w:divsChild>
                <w:div w:id="139034202">
                  <w:marLeft w:val="0"/>
                  <w:marRight w:val="0"/>
                  <w:marTop w:val="75"/>
                  <w:marBottom w:val="75"/>
                  <w:divBdr>
                    <w:top w:val="single" w:sz="6" w:space="15" w:color="DDDDDD"/>
                    <w:left w:val="single" w:sz="6" w:space="15" w:color="DDDDDD"/>
                    <w:bottom w:val="single" w:sz="6" w:space="15" w:color="DDDDDD"/>
                    <w:right w:val="single" w:sz="6" w:space="15" w:color="DDDDDD"/>
                  </w:divBdr>
                  <w:divsChild>
                    <w:div w:id="18527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2018-10-16T06:23:00Z</dcterms:created>
  <dcterms:modified xsi:type="dcterms:W3CDTF">2018-10-16T06:24:00Z</dcterms:modified>
</cp:coreProperties>
</file>